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济宁市第七次全国人口普查公报</w:t>
      </w:r>
      <w:r>
        <w:rPr>
          <w:rFonts w:ascii="方正小标宋简体" w:hAnsi="方正小标宋_GBK" w:eastAsia="方正小标宋简体" w:cs="方正小标宋_GBK"/>
          <w:sz w:val="44"/>
          <w:szCs w:val="44"/>
          <w:vertAlign w:val="superscript"/>
        </w:rPr>
        <w:t>[1]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（第三号）</w:t>
      </w:r>
    </w:p>
    <w:p>
      <w:pPr>
        <w:spacing w:before="312" w:beforeLines="100" w:after="312" w:afterLines="100" w:line="580" w:lineRule="exact"/>
        <w:jc w:val="center"/>
        <w:rPr>
          <w:rFonts w:hint="eastAsia" w:ascii="方正楷体简体" w:hAnsi="Times New Roman" w:eastAsia="方正楷体简体"/>
          <w:sz w:val="32"/>
          <w:szCs w:val="32"/>
        </w:rPr>
      </w:pPr>
      <w:r>
        <w:rPr>
          <w:rFonts w:hint="eastAsia" w:ascii="方正楷体简体" w:hAnsi="Times New Roman" w:eastAsia="方正楷体简体"/>
          <w:sz w:val="32"/>
          <w:szCs w:val="32"/>
        </w:rPr>
        <w:t>——人口性别构成情况</w:t>
      </w:r>
    </w:p>
    <w:p>
      <w:pPr>
        <w:spacing w:line="52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济宁市统计局</w:t>
      </w:r>
    </w:p>
    <w:p>
      <w:pPr>
        <w:spacing w:line="52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济宁市第七次全国人口普查领导小组办公室</w:t>
      </w:r>
    </w:p>
    <w:p>
      <w:pPr>
        <w:spacing w:line="52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2021年6月8日</w:t>
      </w:r>
    </w:p>
    <w:p>
      <w:pPr>
        <w:widowControl/>
        <w:spacing w:line="375" w:lineRule="atLeast"/>
        <w:ind w:firstLine="640" w:firstLineChars="200"/>
        <w:rPr>
          <w:rFonts w:ascii="仿宋_GB2312" w:hAnsi="仿宋" w:eastAsia="仿宋_GB2312" w:cs="仿宋"/>
          <w:kern w:val="0"/>
          <w:sz w:val="32"/>
        </w:rPr>
      </w:pP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根据第七次全国人口普查结果，现将</w:t>
      </w:r>
      <w:r>
        <w:rPr>
          <w:rFonts w:ascii="方正仿宋简体" w:hAnsi="仿宋" w:eastAsia="方正仿宋简体" w:cs="仿宋"/>
          <w:b/>
          <w:kern w:val="0"/>
          <w:sz w:val="32"/>
        </w:rPr>
        <w:t>2020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年</w:t>
      </w:r>
      <w:r>
        <w:rPr>
          <w:rFonts w:ascii="方正仿宋简体" w:hAnsi="仿宋" w:eastAsia="方正仿宋简体" w:cs="仿宋"/>
          <w:b/>
          <w:kern w:val="0"/>
          <w:sz w:val="32"/>
        </w:rPr>
        <w:t>11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月</w:t>
      </w:r>
      <w:r>
        <w:rPr>
          <w:rFonts w:ascii="方正仿宋简体" w:hAnsi="仿宋" w:eastAsia="方正仿宋简体" w:cs="仿宋"/>
          <w:b/>
          <w:kern w:val="0"/>
          <w:sz w:val="32"/>
        </w:rPr>
        <w:t>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日零时我市常住人口的性别构成情况公布如下：</w:t>
      </w:r>
    </w:p>
    <w:p>
      <w:pPr>
        <w:overflowPunct w:val="0"/>
        <w:spacing w:line="590" w:lineRule="exact"/>
        <w:ind w:firstLine="643" w:firstLineChars="200"/>
        <w:rPr>
          <w:rFonts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一、全市人口性别构成</w:t>
      </w: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全市常住人口中，男性人口为</w:t>
      </w:r>
      <w:r>
        <w:rPr>
          <w:rFonts w:ascii="方正仿宋简体" w:hAnsi="仿宋" w:eastAsia="方正仿宋简体" w:cs="仿宋"/>
          <w:b/>
          <w:kern w:val="0"/>
          <w:sz w:val="32"/>
        </w:rPr>
        <w:t>4248546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人，占</w:t>
      </w:r>
      <w:r>
        <w:rPr>
          <w:rFonts w:ascii="方正仿宋简体" w:hAnsi="仿宋" w:eastAsia="方正仿宋简体" w:cs="仿宋"/>
          <w:b/>
          <w:kern w:val="0"/>
          <w:sz w:val="32"/>
        </w:rPr>
        <w:t>50.83%；女性人口为4109351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人，占</w:t>
      </w:r>
      <w:r>
        <w:rPr>
          <w:rFonts w:ascii="方正仿宋简体" w:hAnsi="仿宋" w:eastAsia="方正仿宋简体" w:cs="仿宋"/>
          <w:b/>
          <w:kern w:val="0"/>
          <w:sz w:val="32"/>
        </w:rPr>
        <w:t>49.17%。总人口性别比为103.39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（以女性为</w:t>
      </w:r>
      <w:r>
        <w:rPr>
          <w:rFonts w:ascii="方正仿宋简体" w:hAnsi="仿宋" w:eastAsia="方正仿宋简体" w:cs="仿宋"/>
          <w:b/>
          <w:kern w:val="0"/>
          <w:sz w:val="32"/>
        </w:rPr>
        <w:t>100，男性对女性的比例），与2010年的103.91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相比，</w:t>
      </w:r>
      <w:r>
        <w:rPr>
          <w:rFonts w:ascii="方正仿宋简体" w:hAnsi="仿宋" w:eastAsia="方正仿宋简体" w:cs="仿宋"/>
          <w:b/>
          <w:kern w:val="0"/>
          <w:sz w:val="32"/>
        </w:rPr>
        <w:t>下降0.52个百分点。</w:t>
      </w:r>
    </w:p>
    <w:p>
      <w:pPr>
        <w:overflowPunct w:val="0"/>
        <w:spacing w:line="590" w:lineRule="exact"/>
        <w:ind w:firstLine="643" w:firstLineChars="200"/>
        <w:rPr>
          <w:rFonts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二、县市区人口性别构成</w:t>
      </w: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ascii="方正仿宋简体" w:hAnsi="仿宋" w:eastAsia="方正仿宋简体" w:cs="仿宋"/>
          <w:b/>
          <w:kern w:val="0"/>
          <w:sz w:val="32"/>
        </w:rPr>
        <w:t>14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个县市区中，总人口性别比在</w:t>
      </w:r>
      <w:r>
        <w:rPr>
          <w:rFonts w:ascii="方正仿宋简体" w:hAnsi="仿宋" w:eastAsia="方正仿宋简体" w:cs="仿宋"/>
          <w:b/>
          <w:kern w:val="0"/>
          <w:sz w:val="32"/>
        </w:rPr>
        <w:t>100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以下的有兖州区、</w:t>
      </w:r>
      <w:r>
        <w:rPr>
          <w:rFonts w:ascii="方正仿宋简体" w:hAnsi="仿宋" w:eastAsia="方正仿宋简体" w:cs="仿宋"/>
          <w:b/>
          <w:kern w:val="0"/>
          <w:sz w:val="32"/>
        </w:rPr>
        <w:t>曲阜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市</w:t>
      </w:r>
      <w:r>
        <w:rPr>
          <w:rFonts w:ascii="方正仿宋简体" w:hAnsi="仿宋" w:eastAsia="方正仿宋简体" w:cs="仿宋"/>
          <w:b/>
          <w:kern w:val="0"/>
          <w:sz w:val="32"/>
        </w:rPr>
        <w:t>2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个市区，在</w:t>
      </w:r>
      <w:r>
        <w:rPr>
          <w:rFonts w:ascii="方正仿宋简体" w:hAnsi="仿宋" w:eastAsia="方正仿宋简体" w:cs="仿宋"/>
          <w:b/>
          <w:kern w:val="0"/>
          <w:sz w:val="32"/>
        </w:rPr>
        <w:t>107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以上的有微山县、济宁经济开发区</w:t>
      </w:r>
      <w:r>
        <w:rPr>
          <w:rFonts w:ascii="方正仿宋简体" w:hAnsi="仿宋" w:eastAsia="方正仿宋简体" w:cs="仿宋"/>
          <w:b/>
          <w:kern w:val="0"/>
          <w:sz w:val="32"/>
        </w:rPr>
        <w:t>2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个县区。其余1</w:t>
      </w:r>
      <w:r>
        <w:rPr>
          <w:rFonts w:ascii="方正仿宋简体" w:hAnsi="仿宋" w:eastAsia="方正仿宋简体" w:cs="仿宋"/>
          <w:b/>
          <w:kern w:val="0"/>
          <w:sz w:val="32"/>
        </w:rPr>
        <w:t>0个县市区均在100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至</w:t>
      </w:r>
      <w:r>
        <w:rPr>
          <w:rFonts w:ascii="方正仿宋简体" w:hAnsi="仿宋" w:eastAsia="方正仿宋简体" w:cs="仿宋"/>
          <w:b/>
          <w:kern w:val="0"/>
          <w:sz w:val="32"/>
        </w:rPr>
        <w:t>106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之间（见表3-</w:t>
      </w:r>
      <w:r>
        <w:rPr>
          <w:rFonts w:ascii="方正仿宋简体" w:hAnsi="仿宋" w:eastAsia="方正仿宋简体" w:cs="仿宋"/>
          <w:b/>
          <w:kern w:val="0"/>
          <w:sz w:val="32"/>
        </w:rPr>
        <w:t>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）。</w:t>
      </w:r>
    </w:p>
    <w:p>
      <w:pPr>
        <w:overflowPunct w:val="0"/>
        <w:spacing w:line="590" w:lineRule="exact"/>
        <w:ind w:firstLine="640" w:firstLineChars="200"/>
        <w:rPr>
          <w:rFonts w:ascii="仿宋_GB2312" w:hAnsi="宋体" w:eastAsia="仿宋_GB2312" w:cs="仿宋_GB2312"/>
          <w:sz w:val="32"/>
          <w:szCs w:val="40"/>
        </w:rPr>
      </w:pPr>
    </w:p>
    <w:p>
      <w:pPr>
        <w:overflowPunct w:val="0"/>
        <w:spacing w:line="590" w:lineRule="exact"/>
        <w:ind w:firstLine="640" w:firstLineChars="200"/>
        <w:rPr>
          <w:rFonts w:ascii="仿宋_GB2312" w:hAnsi="宋体" w:eastAsia="仿宋_GB2312" w:cs="仿宋_GB2312"/>
          <w:sz w:val="32"/>
          <w:szCs w:val="40"/>
        </w:rPr>
      </w:pPr>
    </w:p>
    <w:p>
      <w:pPr>
        <w:overflowPunct w:val="0"/>
        <w:spacing w:line="590" w:lineRule="exact"/>
        <w:ind w:firstLine="480" w:firstLineChars="200"/>
        <w:rPr>
          <w:rFonts w:ascii="黑体" w:hAnsi="黑体" w:eastAsia="黑体" w:cs="仿宋"/>
          <w:kern w:val="0"/>
          <w:sz w:val="24"/>
          <w:szCs w:val="28"/>
        </w:rPr>
      </w:pPr>
    </w:p>
    <w:p>
      <w:pPr>
        <w:widowControl/>
        <w:jc w:val="left"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ascii="黑体" w:hAnsi="黑体" w:eastAsia="黑体" w:cs="仿宋"/>
          <w:kern w:val="0"/>
          <w:sz w:val="30"/>
          <w:szCs w:val="30"/>
        </w:rPr>
        <w:br w:type="page"/>
      </w:r>
    </w:p>
    <w:p>
      <w:pPr>
        <w:widowControl/>
        <w:jc w:val="center"/>
        <w:rPr>
          <w:rFonts w:hint="eastAsia" w:ascii="方正小标宋简体" w:hAnsi="黑体" w:eastAsia="方正小标宋简体" w:cs="黑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kern w:val="0"/>
          <w:sz w:val="32"/>
          <w:szCs w:val="32"/>
        </w:rPr>
        <w:t>表3-1 各县市区人口性别构成</w:t>
      </w:r>
    </w:p>
    <w:p>
      <w:pPr>
        <w:widowControl/>
        <w:wordWrap w:val="0"/>
        <w:spacing w:line="375" w:lineRule="atLeast"/>
        <w:jc w:val="righ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hAnsi="仿宋" w:eastAsia="仿宋_GB2312" w:cs="仿宋"/>
          <w:bCs/>
          <w:kern w:val="0"/>
          <w:sz w:val="24"/>
          <w:szCs w:val="30"/>
        </w:rPr>
        <w:t>单位：</w:t>
      </w:r>
      <w:r>
        <w:rPr>
          <w:rFonts w:ascii="仿宋_GB2312" w:hAnsi="仿宋" w:eastAsia="仿宋_GB2312" w:cs="仿宋"/>
          <w:bCs/>
          <w:kern w:val="0"/>
          <w:sz w:val="24"/>
          <w:szCs w:val="30"/>
        </w:rPr>
        <w:t xml:space="preserve">%  </w:t>
      </w:r>
    </w:p>
    <w:tbl>
      <w:tblPr>
        <w:tblStyle w:val="2"/>
        <w:tblW w:w="8235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2020"/>
        <w:gridCol w:w="1829"/>
        <w:gridCol w:w="183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简体" w:hAnsi="仿宋_GB2312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仿宋_GB2312" w:eastAsia="方正黑体简体" w:cs="仿宋_GB2312"/>
                <w:sz w:val="28"/>
                <w:szCs w:val="28"/>
              </w:rPr>
              <w:t>县市区</w:t>
            </w:r>
          </w:p>
        </w:tc>
        <w:tc>
          <w:tcPr>
            <w:tcW w:w="384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简体" w:hAnsi="仿宋_GB2312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仿宋_GB2312" w:eastAsia="方正黑体简体" w:cs="仿宋_GB2312"/>
                <w:bCs/>
                <w:kern w:val="0"/>
                <w:sz w:val="28"/>
                <w:szCs w:val="28"/>
              </w:rPr>
              <w:t>占总人口比重</w:t>
            </w:r>
          </w:p>
        </w:tc>
        <w:tc>
          <w:tcPr>
            <w:tcW w:w="18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简体" w:hAnsi="仿宋_GB2312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仿宋_GB2312" w:eastAsia="方正黑体简体" w:cs="仿宋_GB2312"/>
                <w:kern w:val="0"/>
                <w:sz w:val="28"/>
                <w:szCs w:val="28"/>
              </w:rPr>
              <w:t>性别比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简体" w:hAnsi="仿宋_GB2312" w:eastAsia="方正黑体简体" w:cs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简体" w:hAnsi="仿宋_GB2312" w:eastAsia="方正黑体简体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_GB2312" w:eastAsia="方正黑体简体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简体" w:hAnsi="仿宋_GB2312" w:eastAsia="方正黑体简体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_GB2312" w:eastAsia="方正黑体简体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简体" w:hAnsi="仿宋_GB2312" w:eastAsia="方正黑体简体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仿宋简体" w:hAnsi="仿宋_GB2312" w:eastAsia="方正仿宋简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kern w:val="0"/>
                <w:sz w:val="28"/>
                <w:szCs w:val="28"/>
              </w:rPr>
              <w:t>全  市</w:t>
            </w:r>
          </w:p>
        </w:tc>
        <w:tc>
          <w:tcPr>
            <w:tcW w:w="2020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8"/>
                <w:szCs w:val="28"/>
              </w:rPr>
              <w:t xml:space="preserve">50.83 </w:t>
            </w:r>
          </w:p>
        </w:tc>
        <w:tc>
          <w:tcPr>
            <w:tcW w:w="1829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8"/>
                <w:szCs w:val="28"/>
              </w:rPr>
              <w:t xml:space="preserve">49.17 </w:t>
            </w:r>
          </w:p>
        </w:tc>
        <w:tc>
          <w:tcPr>
            <w:tcW w:w="1831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8"/>
                <w:szCs w:val="28"/>
              </w:rPr>
              <w:t xml:space="preserve">103.39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任城区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50.34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49.66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101.37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兖州区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49.77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50.23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99.10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微山县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52.12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47.88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108.84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鱼台县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51.18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48.82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104.82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金乡县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51.03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48.97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104.23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嘉祥县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51.43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      48.57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105.89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汶上县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51.15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48.85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104.73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泗水县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50.51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      49.49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     102.08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梁山县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51.20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48.80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104.91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济宁高新区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50.68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49.32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102.76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太白湖新区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50.67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49.33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102.72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济宁经济开发区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52.30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47.70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109.66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曲阜市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49.23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50.77 </w:t>
            </w:r>
          </w:p>
        </w:tc>
        <w:tc>
          <w:tcPr>
            <w:tcW w:w="183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96.98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邹城市</w:t>
            </w:r>
          </w:p>
        </w:tc>
        <w:tc>
          <w:tcPr>
            <w:tcW w:w="202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51.01 </w:t>
            </w:r>
          </w:p>
        </w:tc>
        <w:tc>
          <w:tcPr>
            <w:tcW w:w="1829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48.99 </w:t>
            </w:r>
          </w:p>
        </w:tc>
        <w:tc>
          <w:tcPr>
            <w:tcW w:w="1831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 xml:space="preserve">104.12 </w:t>
            </w:r>
          </w:p>
        </w:tc>
      </w:tr>
    </w:tbl>
    <w:p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kern w:val="0"/>
          <w:sz w:val="24"/>
          <w:szCs w:val="20"/>
        </w:rPr>
      </w:pPr>
    </w:p>
    <w:p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kern w:val="0"/>
          <w:sz w:val="24"/>
          <w:szCs w:val="20"/>
        </w:rPr>
      </w:pPr>
    </w:p>
    <w:p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kern w:val="0"/>
          <w:sz w:val="24"/>
          <w:szCs w:val="20"/>
        </w:rPr>
      </w:pPr>
    </w:p>
    <w:p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kern w:val="0"/>
          <w:sz w:val="24"/>
          <w:szCs w:val="20"/>
        </w:rPr>
      </w:pPr>
    </w:p>
    <w:p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kern w:val="0"/>
          <w:sz w:val="24"/>
          <w:szCs w:val="20"/>
        </w:rPr>
      </w:pPr>
    </w:p>
    <w:p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kern w:val="0"/>
          <w:sz w:val="24"/>
          <w:szCs w:val="20"/>
        </w:rPr>
      </w:pP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hint="eastAsia" w:ascii="楷体_GB2312" w:hAnsi="宋体" w:eastAsia="楷体_GB2312" w:cs="楷体_GB2312"/>
          <w:kern w:val="0"/>
          <w:sz w:val="24"/>
        </w:rPr>
        <w:t>注释：</w:t>
      </w: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[1]</w:t>
      </w:r>
      <w:r>
        <w:rPr>
          <w:rFonts w:hint="eastAsia" w:ascii="楷体_GB2312" w:hAnsi="宋体" w:eastAsia="楷体_GB2312" w:cs="楷体_GB2312"/>
          <w:kern w:val="0"/>
          <w:sz w:val="24"/>
        </w:rPr>
        <w:t>本公报数据均为初步汇总数据。</w:t>
      </w:r>
    </w:p>
    <w:p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kern w:val="0"/>
          <w:sz w:val="24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B44E2"/>
    <w:rsid w:val="664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2021-06-15T08:13:32Z</dcterms:created>
  <dc:creator>Administrator</dc:creator>
  <cp:lastModifiedBy>Administrator</cp:lastModifiedBy>
  <dcterms:modified xsi:type="dcterms:W3CDTF">2021-06-15T08:14:06Z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